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04" w:rsidRDefault="00A65191" w:rsidP="00355903">
      <w:pPr>
        <w:spacing w:after="0"/>
        <w:contextualSpacing/>
        <w:jc w:val="center"/>
        <w:rPr>
          <w:rFonts w:ascii="Arial" w:hAnsi="Arial" w:cs="Arial"/>
          <w:b/>
          <w:sz w:val="24"/>
          <w:szCs w:val="24"/>
        </w:rPr>
      </w:pPr>
      <w:bookmarkStart w:id="0" w:name="_GoBack"/>
      <w:bookmarkEnd w:id="0"/>
      <w:r>
        <w:rPr>
          <w:rFonts w:ascii="Times New Roman" w:hAnsi="Times New Roman" w:cs="Times New Roman"/>
          <w:b/>
          <w:sz w:val="24"/>
          <w:szCs w:val="24"/>
        </w:rPr>
        <w:pict>
          <v:rect id="_x0000_i1025" style="width:468pt;height:1pt" o:hralign="center" o:hrstd="t" o:hrnoshade="t" o:hr="t" fillcolor="black [3213]" stroked="f"/>
        </w:pict>
      </w:r>
      <w:r w:rsidR="00D37A04" w:rsidRPr="00D37A04">
        <w:rPr>
          <w:rFonts w:ascii="Arial" w:hAnsi="Arial" w:cs="Arial"/>
          <w:b/>
          <w:sz w:val="24"/>
          <w:szCs w:val="24"/>
        </w:rPr>
        <w:t xml:space="preserve"> </w:t>
      </w:r>
      <w:r w:rsidR="00D259FC">
        <w:rPr>
          <w:rFonts w:ascii="Arial" w:hAnsi="Arial" w:cs="Arial"/>
          <w:b/>
          <w:sz w:val="24"/>
          <w:szCs w:val="24"/>
        </w:rPr>
        <w:t>Performance Guarantee</w:t>
      </w:r>
      <w:r w:rsidR="00D37A04" w:rsidRPr="00C0144B">
        <w:rPr>
          <w:rFonts w:ascii="Arial" w:hAnsi="Arial" w:cs="Arial"/>
          <w:b/>
          <w:sz w:val="24"/>
          <w:szCs w:val="24"/>
        </w:rPr>
        <w:t xml:space="preserve"> Attestations</w:t>
      </w:r>
    </w:p>
    <w:p w:rsidR="00355903" w:rsidRPr="00355903" w:rsidRDefault="00355903" w:rsidP="00355903">
      <w:pPr>
        <w:spacing w:after="0"/>
        <w:contextualSpacing/>
        <w:jc w:val="center"/>
        <w:rPr>
          <w:rFonts w:ascii="Arial" w:hAnsi="Arial" w:cs="Arial"/>
          <w:b/>
          <w:sz w:val="24"/>
          <w:szCs w:val="24"/>
        </w:rPr>
      </w:pPr>
    </w:p>
    <w:tbl>
      <w:tblPr>
        <w:tblStyle w:val="TableGrid"/>
        <w:tblW w:w="0" w:type="auto"/>
        <w:tblLook w:val="04A0" w:firstRow="1" w:lastRow="0" w:firstColumn="1" w:lastColumn="0" w:noHBand="0" w:noVBand="1"/>
      </w:tblPr>
      <w:tblGrid>
        <w:gridCol w:w="9576"/>
      </w:tblGrid>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 xml:space="preserve">Implementation and Start-Up Guarantee </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D37A04" w:rsidRPr="00D37A04"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B76E98" w:rsidRPr="00B76E98" w:rsidRDefault="00B76E98" w:rsidP="00B76E98">
            <w:pPr>
              <w:pStyle w:val="BodyTextIndent3"/>
              <w:ind w:left="720"/>
              <w:rPr>
                <w:rFonts w:cs="Arial"/>
                <w:sz w:val="22"/>
                <w:szCs w:val="22"/>
                <w:lang w:val="en-US"/>
              </w:rPr>
            </w:pPr>
            <w:r w:rsidRPr="00B76E98">
              <w:rPr>
                <w:rFonts w:cs="Arial"/>
                <w:sz w:val="22"/>
                <w:szCs w:val="22"/>
              </w:rPr>
              <w:t>that all Implementation and Start- Up activ</w:t>
            </w:r>
            <w:r>
              <w:rPr>
                <w:rFonts w:cs="Arial"/>
                <w:sz w:val="22"/>
                <w:szCs w:val="22"/>
              </w:rPr>
              <w:t>ities listed in Section IV.A.2</w:t>
            </w:r>
            <w:r w:rsidRPr="00B76E98">
              <w:rPr>
                <w:rFonts w:cs="Arial"/>
                <w:sz w:val="22"/>
                <w:szCs w:val="22"/>
              </w:rPr>
              <w:t xml:space="preserve"> will be in pl</w:t>
            </w:r>
            <w:r>
              <w:rPr>
                <w:rFonts w:cs="Arial"/>
                <w:sz w:val="22"/>
                <w:szCs w:val="22"/>
              </w:rPr>
              <w:t>ace on the implementation date.</w:t>
            </w:r>
          </w:p>
          <w:p w:rsidR="00B76E98" w:rsidRPr="00B76E98" w:rsidRDefault="00B76E98" w:rsidP="00B76E98">
            <w:pPr>
              <w:pStyle w:val="BodyTextIndent3"/>
              <w:ind w:left="720"/>
              <w:rPr>
                <w:rFonts w:cs="Arial"/>
                <w:sz w:val="22"/>
                <w:szCs w:val="22"/>
                <w:lang w:val="en-US"/>
              </w:rPr>
            </w:pPr>
            <w:r w:rsidRPr="00B76E98">
              <w:rPr>
                <w:rFonts w:cs="Arial"/>
                <w:sz w:val="22"/>
                <w:szCs w:val="22"/>
              </w:rPr>
              <w:t xml:space="preserve">If the Contractor fails to complete all implementation and start-up activities within the Implementation Period, the Contractor shall credit against the Project’s fees </w:t>
            </w:r>
            <w:r>
              <w:rPr>
                <w:rFonts w:cs="Arial"/>
                <w:sz w:val="22"/>
                <w:szCs w:val="22"/>
              </w:rPr>
              <w:t>$1,250</w:t>
            </w:r>
            <w:r>
              <w:rPr>
                <w:rFonts w:cs="Arial"/>
                <w:sz w:val="22"/>
                <w:szCs w:val="22"/>
                <w:lang w:val="en-US"/>
              </w:rPr>
              <w:t xml:space="preserve"> </w:t>
            </w:r>
            <w:r w:rsidRPr="00B76E98">
              <w:rPr>
                <w:rFonts w:cs="Arial"/>
                <w:sz w:val="22"/>
                <w:szCs w:val="22"/>
              </w:rPr>
              <w:t>per Day that the Contractor fails to assume full operational responsibility to the satisfaction of the Department.</w:t>
            </w: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Call Center Availability Guarantee</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B76E98" w:rsidRDefault="00B76E98" w:rsidP="00B76E98">
            <w:pPr>
              <w:tabs>
                <w:tab w:val="left" w:pos="900"/>
              </w:tabs>
              <w:ind w:left="720"/>
              <w:rPr>
                <w:rFonts w:ascii="Arial" w:hAnsi="Arial" w:cs="Arial"/>
              </w:rPr>
            </w:pPr>
            <w:proofErr w:type="gramStart"/>
            <w:r>
              <w:rPr>
                <w:rFonts w:ascii="Arial" w:hAnsi="Arial" w:cs="Arial"/>
              </w:rPr>
              <w:t>that</w:t>
            </w:r>
            <w:proofErr w:type="gramEnd"/>
            <w:r>
              <w:rPr>
                <w:rFonts w:ascii="Arial" w:hAnsi="Arial" w:cs="Arial"/>
              </w:rPr>
              <w:t xml:space="preserve"> </w:t>
            </w:r>
            <w:r w:rsidRPr="00C34BBD">
              <w:rPr>
                <w:rFonts w:ascii="Arial" w:hAnsi="Arial" w:cs="Arial"/>
              </w:rPr>
              <w:t>the call center toll-free telephone line will be operational and available to callers at least ninety-eight percent (98%) of the Contractor’s Call Center Hours. The call center availability will be reported daily, and may transition to weekly at the discretion of the Department, and calculated for the term of the Agreement.</w:t>
            </w:r>
          </w:p>
          <w:p w:rsidR="00B76E98" w:rsidRDefault="00B76E98" w:rsidP="00B76E98">
            <w:pPr>
              <w:tabs>
                <w:tab w:val="left" w:pos="900"/>
              </w:tabs>
              <w:ind w:left="720"/>
              <w:rPr>
                <w:rFonts w:ascii="Arial" w:hAnsi="Arial" w:cs="Arial"/>
              </w:rPr>
            </w:pPr>
          </w:p>
          <w:p w:rsidR="00D37A04" w:rsidRDefault="00B76E98" w:rsidP="00225DB5">
            <w:pPr>
              <w:tabs>
                <w:tab w:val="left" w:pos="900"/>
              </w:tabs>
              <w:ind w:left="720"/>
              <w:rPr>
                <w:rFonts w:ascii="Arial" w:hAnsi="Arial" w:cs="Arial"/>
              </w:rPr>
            </w:pPr>
            <w:r w:rsidRPr="00C34BBD">
              <w:rPr>
                <w:rFonts w:ascii="Arial" w:hAnsi="Arial" w:cs="Arial"/>
              </w:rPr>
              <w:t>For each .01 to 1% below the standard of ninety-eight percent (98%) that the Contractor’s toll-free telephone line is not operational and available to callers during the Contractor’s Call Center Hours, the Contractor shall credit against the Project Fees the amount of $10,000.</w:t>
            </w:r>
          </w:p>
          <w:p w:rsidR="00225DB5" w:rsidRPr="00225DB5" w:rsidRDefault="00225DB5" w:rsidP="00225DB5">
            <w:pPr>
              <w:tabs>
                <w:tab w:val="left" w:pos="900"/>
              </w:tabs>
              <w:ind w:left="720"/>
              <w:rPr>
                <w:rFonts w:ascii="Arial" w:hAnsi="Arial" w:cs="Arial"/>
              </w:rPr>
            </w:pP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Call Center Telephone Response Time Guarantee</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25DB5" w:rsidRDefault="00225DB5" w:rsidP="00225DB5">
            <w:pPr>
              <w:tabs>
                <w:tab w:val="left" w:pos="900"/>
              </w:tabs>
              <w:ind w:left="720"/>
              <w:rPr>
                <w:rFonts w:ascii="Arial" w:hAnsi="Arial" w:cs="Arial"/>
              </w:rPr>
            </w:pPr>
            <w:proofErr w:type="gramStart"/>
            <w:r>
              <w:rPr>
                <w:rFonts w:ascii="Arial" w:hAnsi="Arial" w:cs="Arial"/>
              </w:rPr>
              <w:t>that</w:t>
            </w:r>
            <w:proofErr w:type="gramEnd"/>
            <w:r>
              <w:rPr>
                <w:rFonts w:ascii="Arial" w:hAnsi="Arial" w:cs="Arial"/>
              </w:rPr>
              <w:t xml:space="preserve"> the </w:t>
            </w:r>
            <w:r w:rsidRPr="00C34BBD">
              <w:rPr>
                <w:rFonts w:ascii="Arial" w:hAnsi="Arial" w:cs="Arial"/>
              </w:rPr>
              <w:t>call center toll-free telephone line will be answered by a call center representative within 45 seconds at least ninety percent (90%) of the time during the Contractor’s Call Center Hours. The call center response time will be reported daily, and may transition to weekly at the discretion of the Department, and calculated for the term of the Agreement.</w:t>
            </w:r>
          </w:p>
          <w:p w:rsidR="00225DB5" w:rsidRDefault="00225DB5" w:rsidP="00225DB5">
            <w:pPr>
              <w:tabs>
                <w:tab w:val="left" w:pos="900"/>
              </w:tabs>
              <w:ind w:left="720"/>
              <w:rPr>
                <w:rFonts w:ascii="Arial" w:hAnsi="Arial" w:cs="Arial"/>
              </w:rPr>
            </w:pPr>
          </w:p>
          <w:p w:rsidR="00225DB5" w:rsidRDefault="00225DB5" w:rsidP="00225DB5">
            <w:pPr>
              <w:tabs>
                <w:tab w:val="left" w:pos="900"/>
              </w:tabs>
              <w:ind w:left="720"/>
              <w:rPr>
                <w:rFonts w:ascii="Arial" w:hAnsi="Arial" w:cs="Arial"/>
              </w:rPr>
            </w:pPr>
            <w:r w:rsidRPr="00C34BBD">
              <w:rPr>
                <w:rFonts w:ascii="Arial" w:hAnsi="Arial" w:cs="Arial"/>
              </w:rPr>
              <w:t>For each .01 to 1% of incoming calls to the Contractor’s telephone line below the standard of ninety percent (90%) that is not answered by a call center representative within 45 seconds, Contractor shall credit against the Project Fees the amount of $10,000.</w:t>
            </w:r>
          </w:p>
          <w:p w:rsidR="00225DB5" w:rsidRDefault="00225DB5" w:rsidP="00225DB5">
            <w:pPr>
              <w:pStyle w:val="Default"/>
              <w:tabs>
                <w:tab w:val="left" w:pos="720"/>
              </w:tabs>
              <w:ind w:left="806"/>
              <w:rPr>
                <w:rFonts w:ascii="Arial" w:hAnsi="Arial" w:cs="Arial"/>
                <w:sz w:val="22"/>
                <w:szCs w:val="22"/>
              </w:rPr>
            </w:pPr>
          </w:p>
          <w:p w:rsidR="00881D1D" w:rsidRDefault="00881D1D" w:rsidP="00225DB5">
            <w:pPr>
              <w:pStyle w:val="Default"/>
              <w:tabs>
                <w:tab w:val="left" w:pos="720"/>
              </w:tabs>
              <w:ind w:left="806"/>
              <w:rPr>
                <w:rFonts w:ascii="Arial" w:hAnsi="Arial" w:cs="Arial"/>
                <w:sz w:val="22"/>
                <w:szCs w:val="22"/>
              </w:rPr>
            </w:pPr>
          </w:p>
          <w:p w:rsidR="00881D1D" w:rsidRDefault="00881D1D" w:rsidP="00225DB5">
            <w:pPr>
              <w:pStyle w:val="Default"/>
              <w:tabs>
                <w:tab w:val="left" w:pos="720"/>
              </w:tabs>
              <w:ind w:left="806"/>
              <w:rPr>
                <w:rFonts w:ascii="Arial" w:hAnsi="Arial" w:cs="Arial"/>
                <w:sz w:val="22"/>
                <w:szCs w:val="22"/>
              </w:rPr>
            </w:pPr>
          </w:p>
          <w:p w:rsidR="00881D1D" w:rsidRDefault="00881D1D" w:rsidP="00225DB5">
            <w:pPr>
              <w:pStyle w:val="Default"/>
              <w:tabs>
                <w:tab w:val="left" w:pos="720"/>
              </w:tabs>
              <w:ind w:left="806"/>
              <w:rPr>
                <w:rFonts w:ascii="Arial" w:hAnsi="Arial" w:cs="Arial"/>
                <w:sz w:val="22"/>
                <w:szCs w:val="22"/>
              </w:rPr>
            </w:pPr>
          </w:p>
          <w:p w:rsidR="00881D1D" w:rsidRPr="00D0584F" w:rsidRDefault="00881D1D" w:rsidP="00225DB5">
            <w:pPr>
              <w:pStyle w:val="Default"/>
              <w:tabs>
                <w:tab w:val="left" w:pos="720"/>
              </w:tabs>
              <w:ind w:left="806"/>
              <w:rPr>
                <w:rFonts w:ascii="Arial" w:hAnsi="Arial" w:cs="Arial"/>
                <w:sz w:val="22"/>
                <w:szCs w:val="22"/>
              </w:rPr>
            </w:pP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lastRenderedPageBreak/>
              <w:t xml:space="preserve">Telephone Abandonment Rate Guarantee </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225DB5" w:rsidRDefault="00794E2C" w:rsidP="00225DB5">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25DB5" w:rsidRDefault="00225DB5" w:rsidP="00225DB5">
            <w:pPr>
              <w:tabs>
                <w:tab w:val="left" w:pos="900"/>
              </w:tabs>
              <w:ind w:left="720"/>
              <w:rPr>
                <w:rFonts w:ascii="Arial" w:hAnsi="Arial" w:cs="Arial"/>
              </w:rPr>
            </w:pPr>
            <w:proofErr w:type="gramStart"/>
            <w:r>
              <w:rPr>
                <w:rFonts w:ascii="Arial" w:hAnsi="Arial" w:cs="Arial"/>
              </w:rPr>
              <w:t>that</w:t>
            </w:r>
            <w:proofErr w:type="gramEnd"/>
            <w:r>
              <w:rPr>
                <w:rFonts w:ascii="Arial" w:hAnsi="Arial" w:cs="Arial"/>
              </w:rPr>
              <w:t xml:space="preserve"> </w:t>
            </w:r>
            <w:r w:rsidRPr="00C34BBD">
              <w:rPr>
                <w:rFonts w:ascii="Arial" w:hAnsi="Arial" w:cs="Arial"/>
              </w:rPr>
              <w:t>incoming calls to the Contractor’s call center toll-free telephone line in which the caller disconnects prior to the call being answered by a call center representative will not exceed the standard of three percent (3%) of total incoming calls. The call center telephone abandonment rate will be reported daily and may transition to weekly at the discretion of the Department, and calculated for the term of the Agreement.</w:t>
            </w:r>
          </w:p>
          <w:p w:rsidR="00225DB5" w:rsidRDefault="00225DB5" w:rsidP="00225DB5">
            <w:pPr>
              <w:tabs>
                <w:tab w:val="left" w:pos="900"/>
              </w:tabs>
              <w:ind w:left="720"/>
              <w:rPr>
                <w:rFonts w:ascii="Arial" w:hAnsi="Arial" w:cs="Arial"/>
              </w:rPr>
            </w:pPr>
          </w:p>
          <w:p w:rsidR="00225DB5" w:rsidRDefault="00225DB5" w:rsidP="00225DB5">
            <w:pPr>
              <w:tabs>
                <w:tab w:val="left" w:pos="900"/>
              </w:tabs>
              <w:ind w:left="720"/>
              <w:rPr>
                <w:rFonts w:ascii="Arial" w:hAnsi="Arial" w:cs="Arial"/>
              </w:rPr>
            </w:pPr>
            <w:r w:rsidRPr="00C34BBD">
              <w:rPr>
                <w:rFonts w:ascii="Arial" w:hAnsi="Arial" w:cs="Arial"/>
              </w:rPr>
              <w:t>For each .01 to 1% of incoming calls to the Contractor’s call center toll-free telephone line in which the caller disconnects prior to the call being answered by a call center representative in excess of the standard of three percent (3%) of total incoming calls, the Contractor shall credit against the Project Fees the amount of $10,000.</w:t>
            </w:r>
          </w:p>
          <w:p w:rsidR="002C0AF8" w:rsidRPr="00D0584F" w:rsidRDefault="002C0AF8" w:rsidP="00225DB5">
            <w:pPr>
              <w:ind w:left="907"/>
              <w:rPr>
                <w:rFonts w:ascii="Arial" w:hAnsi="Arial" w:cs="Arial"/>
              </w:rPr>
            </w:pP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Telephone Blockage Rate Guarantee</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25DB5" w:rsidRDefault="00225DB5" w:rsidP="00225DB5">
            <w:pPr>
              <w:tabs>
                <w:tab w:val="left" w:pos="900"/>
              </w:tabs>
              <w:ind w:left="720"/>
              <w:rPr>
                <w:rFonts w:ascii="Arial" w:hAnsi="Arial" w:cs="Arial"/>
              </w:rPr>
            </w:pPr>
            <w:r>
              <w:rPr>
                <w:rFonts w:ascii="Arial" w:hAnsi="Arial" w:cs="Arial"/>
              </w:rPr>
              <w:t xml:space="preserve">that </w:t>
            </w:r>
            <w:r w:rsidRPr="00C34BBD">
              <w:rPr>
                <w:rFonts w:ascii="Arial" w:hAnsi="Arial" w:cs="Arial"/>
              </w:rPr>
              <w:t>incoming calls to the Contractor’s call center toll-free telephone line that are blocked by a busy signal shall not exceed the standard of one percent (1%) of total incoming calls. The call center telephone line blockage rate will be reported daily, and may transition to weekly at the discretion of the Department, and calculated for the term of the A</w:t>
            </w:r>
            <w:r>
              <w:rPr>
                <w:rFonts w:ascii="Arial" w:hAnsi="Arial" w:cs="Arial"/>
              </w:rPr>
              <w:t>greement.</w:t>
            </w:r>
          </w:p>
          <w:p w:rsidR="00225DB5" w:rsidRDefault="00225DB5" w:rsidP="00225DB5">
            <w:pPr>
              <w:tabs>
                <w:tab w:val="left" w:pos="900"/>
              </w:tabs>
              <w:ind w:left="720"/>
              <w:rPr>
                <w:rFonts w:ascii="Arial" w:hAnsi="Arial" w:cs="Arial"/>
              </w:rPr>
            </w:pPr>
          </w:p>
          <w:p w:rsidR="00794E2C" w:rsidRPr="00D37A04" w:rsidRDefault="00225DB5" w:rsidP="00225DB5">
            <w:pPr>
              <w:tabs>
                <w:tab w:val="left" w:pos="900"/>
              </w:tabs>
              <w:ind w:left="720"/>
              <w:rPr>
                <w:rFonts w:ascii="Arial" w:hAnsi="Arial" w:cs="Arial"/>
              </w:rPr>
            </w:pPr>
            <w:r w:rsidRPr="00C34BBD">
              <w:rPr>
                <w:rFonts w:ascii="Arial" w:hAnsi="Arial" w:cs="Arial"/>
              </w:rPr>
              <w:t>For each .01 to 1% of incoming calls to the call center toll-free telephone line that are blocked by a busy signal, in excess of the standard of one percent (1%) of total incoming calls, the Contractor shall credit against the Project’s Fees the amount of $10,000.</w:t>
            </w:r>
          </w:p>
          <w:p w:rsidR="002C0AF8" w:rsidRPr="002C0AF8" w:rsidRDefault="002C0AF8" w:rsidP="002C0AF8">
            <w:pPr>
              <w:ind w:left="630"/>
              <w:rPr>
                <w:rFonts w:ascii="Arial" w:hAnsi="Arial" w:cs="Arial"/>
              </w:rPr>
            </w:pPr>
          </w:p>
        </w:tc>
      </w:tr>
      <w:tr w:rsidR="00D37A04" w:rsidRP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Secure Online Web Portal Guarantee</w:t>
            </w:r>
          </w:p>
        </w:tc>
      </w:tr>
      <w:tr w:rsidR="00D37A04" w:rsidTr="00D37A04">
        <w:tc>
          <w:tcPr>
            <w:tcW w:w="9576" w:type="dxa"/>
          </w:tcPr>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25DB5" w:rsidRDefault="00225DB5" w:rsidP="00225DB5">
            <w:pPr>
              <w:tabs>
                <w:tab w:val="left" w:pos="900"/>
              </w:tabs>
              <w:ind w:left="720"/>
              <w:rPr>
                <w:rFonts w:ascii="Arial" w:hAnsi="Arial" w:cs="Arial"/>
              </w:rPr>
            </w:pPr>
            <w:r w:rsidRPr="00C34BBD">
              <w:rPr>
                <w:rFonts w:ascii="Arial" w:hAnsi="Arial" w:cs="Arial"/>
              </w:rPr>
              <w:t>that ninety-five percent (95%) of all documents submitted by Enrollees, regardless of method of submission, will be uploaded, processed and viewable on the Contractor’s secure online web portal within three (3) Business Days of receipt and one-hundred percent (100%) will be uploaded, processed and viewable on the Contractor’s secure online web portal within five (5) Business Days of receipt. The document processing time shall be reported weekly and calculated for the term of the Agreement.</w:t>
            </w:r>
          </w:p>
          <w:p w:rsidR="00225DB5" w:rsidRDefault="00225DB5" w:rsidP="00225DB5">
            <w:pPr>
              <w:tabs>
                <w:tab w:val="left" w:pos="900"/>
              </w:tabs>
              <w:ind w:left="720"/>
              <w:rPr>
                <w:rFonts w:ascii="Arial" w:hAnsi="Arial" w:cs="Arial"/>
              </w:rPr>
            </w:pPr>
          </w:p>
          <w:p w:rsidR="002C0AF8" w:rsidRPr="00881D1D" w:rsidRDefault="00225DB5" w:rsidP="00881D1D">
            <w:pPr>
              <w:tabs>
                <w:tab w:val="left" w:pos="900"/>
              </w:tabs>
              <w:ind w:left="720"/>
              <w:rPr>
                <w:rFonts w:ascii="Arial" w:hAnsi="Arial" w:cs="Arial"/>
              </w:rPr>
            </w:pPr>
            <w:r w:rsidRPr="00C34BBD">
              <w:rPr>
                <w:rFonts w:ascii="Arial" w:hAnsi="Arial" w:cs="Arial"/>
              </w:rPr>
              <w:t xml:space="preserve">For each .01 to 1% below the standard of ninety-five percent (95%) of all documents received that are not uploaded, processed and viewable on the Contractor’s secure online web portal within three (3) Business Days, the Contractor shall credit against the Project Fees the amount of $10,000. Additionally for each .01 to 1% below the standard of  one-hundred percent (100%) of all documents received that are not uploaded, processed and viewable on the Contractor’s secure online web portal within five (5) Business Days, the Contractor shall credit against the  Project Fees the amount of $10,000.  </w:t>
            </w: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lastRenderedPageBreak/>
              <w:t>Amnesty Period, Eligibility Verification Period, and Appeal and Reinstatement Period(s) Guarantee</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Default="00225DB5" w:rsidP="00225DB5">
            <w:pPr>
              <w:tabs>
                <w:tab w:val="left" w:pos="900"/>
              </w:tabs>
              <w:ind w:left="720"/>
              <w:rPr>
                <w:rFonts w:ascii="Arial" w:hAnsi="Arial" w:cs="Arial"/>
              </w:rPr>
            </w:pPr>
            <w:proofErr w:type="gramStart"/>
            <w:r>
              <w:rPr>
                <w:rFonts w:ascii="Arial" w:hAnsi="Arial" w:cs="Arial"/>
              </w:rPr>
              <w:t>that</w:t>
            </w:r>
            <w:proofErr w:type="gramEnd"/>
            <w:r>
              <w:rPr>
                <w:rFonts w:ascii="Arial" w:hAnsi="Arial" w:cs="Arial"/>
              </w:rPr>
              <w:t xml:space="preserve"> </w:t>
            </w:r>
            <w:r w:rsidRPr="00C34BBD">
              <w:rPr>
                <w:rFonts w:ascii="Arial" w:hAnsi="Arial" w:cs="Arial"/>
              </w:rPr>
              <w:t>all Amnesty Period and Eligibility Verification Period tasks will be completed within one (1) year of the Agreement start date and all Appeal and Reinstatement Period(s) tasks will be completed within fifteen (15) months of Agreement start date.</w:t>
            </w:r>
          </w:p>
          <w:p w:rsidR="00225DB5" w:rsidRDefault="00225DB5" w:rsidP="00225DB5">
            <w:pPr>
              <w:tabs>
                <w:tab w:val="left" w:pos="900"/>
              </w:tabs>
              <w:ind w:left="720"/>
              <w:rPr>
                <w:rFonts w:ascii="Arial" w:hAnsi="Arial" w:cs="Arial"/>
              </w:rPr>
            </w:pPr>
          </w:p>
          <w:p w:rsidR="002C0AF8" w:rsidRPr="00C05090" w:rsidRDefault="00225DB5" w:rsidP="00225DB5">
            <w:pPr>
              <w:tabs>
                <w:tab w:val="left" w:pos="900"/>
              </w:tabs>
              <w:ind w:left="720"/>
              <w:rPr>
                <w:rFonts w:ascii="Arial" w:hAnsi="Arial" w:cs="Arial"/>
              </w:rPr>
            </w:pPr>
            <w:r w:rsidRPr="00C34BBD">
              <w:rPr>
                <w:rFonts w:ascii="Arial" w:hAnsi="Arial" w:cs="Arial"/>
              </w:rPr>
              <w:t>For each month or partial month that all Amnesty Period and Eligibility Verification Period tasks are not completed within one (1) year of the Agreement start date and all Appeal and Reinstatement Period(s) tasks that are not completed within fifteen (15) months of the Agreement start date, the Contractor shall credit four percent (4%) of the total Project Fees charged under the Agreement for all DEA Project Services.</w:t>
            </w:r>
            <w:r>
              <w:rPr>
                <w:rFonts w:ascii="Arial" w:hAnsi="Arial" w:cs="Arial"/>
                <w:u w:val="single"/>
              </w:rPr>
              <w:br/>
            </w: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Reporting Guarantee</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C0AF8" w:rsidRDefault="00225DB5" w:rsidP="00225DB5">
            <w:pPr>
              <w:tabs>
                <w:tab w:val="left" w:pos="900"/>
              </w:tabs>
              <w:ind w:left="720"/>
              <w:rPr>
                <w:rFonts w:ascii="Arial" w:hAnsi="Arial" w:cs="Arial"/>
              </w:rPr>
            </w:pPr>
            <w:r>
              <w:rPr>
                <w:rFonts w:ascii="Arial" w:hAnsi="Arial" w:cs="Arial"/>
              </w:rPr>
              <w:t xml:space="preserve">that the </w:t>
            </w:r>
            <w:r w:rsidRPr="00C34BBD">
              <w:rPr>
                <w:rFonts w:ascii="Arial" w:hAnsi="Arial" w:cs="Arial"/>
              </w:rPr>
              <w:t xml:space="preserve">accurate management </w:t>
            </w:r>
            <w:r w:rsidR="00881D1D">
              <w:rPr>
                <w:rFonts w:ascii="Arial" w:hAnsi="Arial" w:cs="Arial"/>
              </w:rPr>
              <w:t xml:space="preserve">of </w:t>
            </w:r>
            <w:r w:rsidRPr="00C34BBD">
              <w:rPr>
                <w:rFonts w:ascii="Arial" w:hAnsi="Arial" w:cs="Arial"/>
              </w:rPr>
              <w:t xml:space="preserve">reports as specified in </w:t>
            </w:r>
            <w:r w:rsidRPr="00C34BBD">
              <w:rPr>
                <w:rFonts w:ascii="Arial" w:hAnsi="Arial" w:cs="Arial"/>
                <w:color w:val="000000"/>
              </w:rPr>
              <w:t>Section IV.A.9.</w:t>
            </w:r>
            <w:proofErr w:type="spellStart"/>
            <w:r w:rsidRPr="00C34BBD">
              <w:rPr>
                <w:rFonts w:ascii="Arial" w:hAnsi="Arial" w:cs="Arial"/>
                <w:color w:val="000000"/>
              </w:rPr>
              <w:t>a</w:t>
            </w:r>
            <w:proofErr w:type="spellEnd"/>
            <w:r w:rsidRPr="00C34BBD">
              <w:rPr>
                <w:rFonts w:ascii="Arial" w:hAnsi="Arial" w:cs="Arial"/>
              </w:rPr>
              <w:t xml:space="preserve"> of this IFB will be delivered to the Department no later than their respective due dates inclusive of the date of receipt and supply the reports in an electronic format (Microsoft Access, Excel, Word) as determined by the Department.</w:t>
            </w:r>
          </w:p>
          <w:p w:rsidR="00225DB5" w:rsidRDefault="00225DB5" w:rsidP="00225DB5">
            <w:pPr>
              <w:tabs>
                <w:tab w:val="left" w:pos="900"/>
              </w:tabs>
              <w:ind w:left="720"/>
              <w:rPr>
                <w:rFonts w:ascii="Arial" w:hAnsi="Arial" w:cs="Arial"/>
              </w:rPr>
            </w:pPr>
          </w:p>
          <w:p w:rsidR="00225DB5" w:rsidRDefault="00225DB5" w:rsidP="00225DB5">
            <w:pPr>
              <w:tabs>
                <w:tab w:val="left" w:pos="900"/>
              </w:tabs>
              <w:ind w:left="720"/>
              <w:rPr>
                <w:rFonts w:ascii="Arial" w:hAnsi="Arial" w:cs="Arial"/>
              </w:rPr>
            </w:pPr>
            <w:r w:rsidRPr="00C34BBD">
              <w:rPr>
                <w:rFonts w:ascii="Arial" w:hAnsi="Arial" w:cs="Arial"/>
              </w:rPr>
              <w:t>For each management report that is not received by its respective due date, the Contractor shall credit against the Project Fees $1,250 per report per each Business Day between the due date and the date the management report is received by the Department inclusive of the date of receipt.</w:t>
            </w:r>
          </w:p>
          <w:p w:rsidR="00225DB5" w:rsidRPr="002C0AF8" w:rsidRDefault="00225DB5" w:rsidP="00225DB5">
            <w:pPr>
              <w:tabs>
                <w:tab w:val="left" w:pos="900"/>
              </w:tabs>
              <w:ind w:left="720"/>
              <w:rPr>
                <w:rFonts w:ascii="Arial" w:hAnsi="Arial" w:cs="Arial"/>
              </w:rPr>
            </w:pPr>
          </w:p>
        </w:tc>
      </w:tr>
      <w:tr w:rsidR="00D37A04" w:rsidTr="00D37A04">
        <w:tc>
          <w:tcPr>
            <w:tcW w:w="9576" w:type="dxa"/>
            <w:shd w:val="clear" w:color="auto" w:fill="D9D9D9" w:themeFill="background1" w:themeFillShade="D9"/>
          </w:tcPr>
          <w:p w:rsidR="00D37A04" w:rsidRPr="00D37A04" w:rsidRDefault="00355903">
            <w:pPr>
              <w:rPr>
                <w:rFonts w:ascii="Arial" w:hAnsi="Arial" w:cs="Arial"/>
                <w:b/>
              </w:rPr>
            </w:pPr>
            <w:r>
              <w:rPr>
                <w:rFonts w:ascii="Arial" w:hAnsi="Arial" w:cs="Arial"/>
                <w:b/>
                <w:color w:val="808080" w:themeColor="background1" w:themeShade="80"/>
              </w:rPr>
              <w:t xml:space="preserve">Return on Investment (ROI) Guarantee </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2C0AF8" w:rsidRDefault="00225DB5" w:rsidP="00225DB5">
            <w:pPr>
              <w:tabs>
                <w:tab w:val="left" w:pos="900"/>
              </w:tabs>
              <w:ind w:left="720"/>
              <w:rPr>
                <w:rFonts w:ascii="Arial" w:hAnsi="Arial" w:cs="Arial"/>
              </w:rPr>
            </w:pPr>
            <w:proofErr w:type="gramStart"/>
            <w:r>
              <w:rPr>
                <w:rFonts w:ascii="Arial" w:hAnsi="Arial" w:cs="Arial"/>
              </w:rPr>
              <w:t>to</w:t>
            </w:r>
            <w:proofErr w:type="gramEnd"/>
            <w:r w:rsidRPr="00C34BBD">
              <w:rPr>
                <w:rFonts w:ascii="Arial" w:hAnsi="Arial" w:cs="Arial"/>
              </w:rPr>
              <w:t xml:space="preserve"> guarantee a ROI of at least 3:1 for the administration of the Amnesty Period and the Eligibility Verification Period:  Total savings of at least three (3) times the total DEA Project cost. Total savings shall be calculated by the Department, as outlined in IV.10.b of this IFB, and shall be based on the Plan (Empire, SEHP or HMO) the member is enrolled in at the time of the audit.</w:t>
            </w:r>
            <w:r w:rsidR="00C05090" w:rsidRPr="00B941B8">
              <w:rPr>
                <w:rFonts w:ascii="Arial" w:hAnsi="Arial" w:cs="Arial"/>
              </w:rPr>
              <w:t xml:space="preserve"> </w:t>
            </w:r>
          </w:p>
          <w:p w:rsidR="00225DB5" w:rsidRDefault="00225DB5" w:rsidP="00225DB5">
            <w:pPr>
              <w:tabs>
                <w:tab w:val="left" w:pos="900"/>
              </w:tabs>
              <w:ind w:left="720"/>
              <w:rPr>
                <w:rFonts w:ascii="Arial" w:hAnsi="Arial" w:cs="Arial"/>
              </w:rPr>
            </w:pPr>
          </w:p>
          <w:p w:rsidR="00225DB5" w:rsidRDefault="00225DB5" w:rsidP="00225DB5">
            <w:pPr>
              <w:tabs>
                <w:tab w:val="left" w:pos="900"/>
              </w:tabs>
              <w:ind w:left="720"/>
              <w:rPr>
                <w:rFonts w:ascii="Arial" w:hAnsi="Arial" w:cs="Arial"/>
              </w:rPr>
            </w:pPr>
            <w:r w:rsidRPr="00C34BBD">
              <w:rPr>
                <w:rFonts w:ascii="Arial" w:hAnsi="Arial" w:cs="Arial"/>
              </w:rPr>
              <w:t>If total savings calculated by the Department is less than three (3) times the total DEA Project cost charged under the Agreement, the Contractor shall credit against the total Project Fees the difference between three (3) times the total DEA Project cost and actual total savings as calculated by the Department, not to exceed the total Project Fees charged under the Agreement.</w:t>
            </w:r>
          </w:p>
          <w:p w:rsidR="00225DB5" w:rsidRPr="00225DB5" w:rsidRDefault="00225DB5" w:rsidP="00225DB5">
            <w:pPr>
              <w:tabs>
                <w:tab w:val="left" w:pos="900"/>
              </w:tabs>
              <w:ind w:left="720"/>
              <w:rPr>
                <w:rFonts w:ascii="Arial" w:hAnsi="Arial" w:cs="Arial"/>
              </w:rPr>
            </w:pPr>
          </w:p>
        </w:tc>
      </w:tr>
    </w:tbl>
    <w:p w:rsidR="00102E9C" w:rsidRDefault="00102E9C" w:rsidP="00102E9C">
      <w:pPr>
        <w:spacing w:line="240" w:lineRule="auto"/>
        <w:ind w:left="450"/>
        <w:contextualSpacing/>
        <w:rPr>
          <w:rFonts w:ascii="Times New Roman" w:hAnsi="Times New Roman" w:cs="Times New Roman"/>
          <w:sz w:val="24"/>
          <w:szCs w:val="24"/>
        </w:rPr>
      </w:pPr>
    </w:p>
    <w:p w:rsidR="00694152" w:rsidRPr="00102E9C" w:rsidRDefault="00694152" w:rsidP="00102E9C">
      <w:pPr>
        <w:spacing w:line="240" w:lineRule="auto"/>
        <w:ind w:left="450"/>
        <w:contextualSpacing/>
        <w:rPr>
          <w:rFonts w:ascii="Times New Roman" w:hAnsi="Times New Roman" w:cs="Times New Roman"/>
          <w:sz w:val="24"/>
          <w:szCs w:val="24"/>
        </w:rPr>
      </w:pPr>
    </w:p>
    <w:p w:rsidR="00102E9C" w:rsidRPr="00102E9C" w:rsidRDefault="00102E9C" w:rsidP="00102E9C">
      <w:pPr>
        <w:spacing w:line="240" w:lineRule="auto"/>
        <w:ind w:left="450"/>
        <w:contextualSpacing/>
        <w:rPr>
          <w:rFonts w:ascii="Times New Roman" w:hAnsi="Times New Roman" w:cs="Times New Roman"/>
          <w:sz w:val="24"/>
          <w:szCs w:val="24"/>
        </w:rPr>
      </w:pPr>
    </w:p>
    <w:p w:rsidR="00102E9C" w:rsidRPr="00102E9C" w:rsidRDefault="00694152" w:rsidP="00102E9C">
      <w:pPr>
        <w:spacing w:line="240" w:lineRule="auto"/>
        <w:ind w:left="450"/>
        <w:contextualSpacing/>
        <w:rPr>
          <w:rFonts w:ascii="Arial" w:hAnsi="Arial" w:cs="Arial"/>
          <w:sz w:val="24"/>
          <w:szCs w:val="24"/>
        </w:rPr>
      </w:pPr>
      <w:r>
        <w:rPr>
          <w:rFonts w:ascii="Arial" w:hAnsi="Arial" w:cs="Arial"/>
          <w:sz w:val="24"/>
          <w:szCs w:val="24"/>
        </w:rPr>
        <w:t>Date</w:t>
      </w:r>
      <w:proofErr w:type="gramStart"/>
      <w:r>
        <w:rPr>
          <w:rFonts w:ascii="Arial" w:hAnsi="Arial" w:cs="Arial"/>
          <w:sz w:val="24"/>
          <w:szCs w:val="24"/>
        </w:rPr>
        <w:t>:_</w:t>
      </w:r>
      <w:proofErr w:type="gramEnd"/>
      <w:r>
        <w:rPr>
          <w:rFonts w:ascii="Arial" w:hAnsi="Arial" w:cs="Arial"/>
          <w:sz w:val="24"/>
          <w:szCs w:val="24"/>
        </w:rPr>
        <w:t xml:space="preserve">_____________ </w:t>
      </w:r>
      <w:r>
        <w:rPr>
          <w:rFonts w:ascii="Arial" w:hAnsi="Arial" w:cs="Arial"/>
          <w:sz w:val="24"/>
          <w:szCs w:val="24"/>
        </w:rPr>
        <w:tab/>
      </w:r>
      <w:r w:rsidR="00AF0EA8">
        <w:rPr>
          <w:rFonts w:ascii="Arial" w:hAnsi="Arial" w:cs="Arial"/>
          <w:sz w:val="24"/>
          <w:szCs w:val="24"/>
        </w:rPr>
        <w:t xml:space="preserve">                           </w:t>
      </w:r>
      <w:r w:rsidR="00102E9C" w:rsidRPr="00102E9C">
        <w:rPr>
          <w:rFonts w:ascii="Arial" w:hAnsi="Arial" w:cs="Arial"/>
          <w:sz w:val="24"/>
          <w:szCs w:val="24"/>
        </w:rPr>
        <w:t>______</w:t>
      </w:r>
      <w:r w:rsidR="00AF0EA8">
        <w:rPr>
          <w:rFonts w:ascii="Arial" w:hAnsi="Arial" w:cs="Arial"/>
          <w:sz w:val="24"/>
          <w:szCs w:val="24"/>
        </w:rPr>
        <w:t>_______________________</w:t>
      </w:r>
    </w:p>
    <w:p w:rsidR="00102E9C" w:rsidRPr="00102E9C" w:rsidRDefault="00102E9C" w:rsidP="00102E9C">
      <w:pPr>
        <w:spacing w:line="240" w:lineRule="auto"/>
        <w:ind w:left="450"/>
        <w:contextualSpacing/>
        <w:rPr>
          <w:rFonts w:ascii="Arial" w:hAnsi="Arial" w:cs="Arial"/>
          <w:sz w:val="24"/>
          <w:szCs w:val="24"/>
        </w:rPr>
      </w:pPr>
      <w:r w:rsidRPr="00102E9C">
        <w:rPr>
          <w:rFonts w:ascii="Arial" w:hAnsi="Arial" w:cs="Arial"/>
          <w:sz w:val="24"/>
          <w:szCs w:val="24"/>
        </w:rPr>
        <w:t xml:space="preserve">                                         </w:t>
      </w:r>
      <w:r w:rsidR="00694152">
        <w:rPr>
          <w:rFonts w:ascii="Arial" w:hAnsi="Arial" w:cs="Arial"/>
          <w:sz w:val="24"/>
          <w:szCs w:val="24"/>
        </w:rPr>
        <w:t xml:space="preserve">    </w:t>
      </w:r>
      <w:r w:rsidR="00694152">
        <w:rPr>
          <w:rFonts w:ascii="Arial" w:hAnsi="Arial" w:cs="Arial"/>
          <w:sz w:val="24"/>
          <w:szCs w:val="24"/>
        </w:rPr>
        <w:tab/>
      </w:r>
      <w:r w:rsidR="00694152">
        <w:rPr>
          <w:rFonts w:ascii="Arial" w:hAnsi="Arial" w:cs="Arial"/>
          <w:sz w:val="24"/>
          <w:szCs w:val="24"/>
        </w:rPr>
        <w:tab/>
      </w:r>
      <w:r w:rsidR="00AF0EA8">
        <w:rPr>
          <w:rFonts w:ascii="Arial" w:hAnsi="Arial" w:cs="Arial"/>
          <w:sz w:val="24"/>
          <w:szCs w:val="24"/>
        </w:rPr>
        <w:t xml:space="preserve">  </w:t>
      </w:r>
      <w:r w:rsidR="00694152">
        <w:rPr>
          <w:rFonts w:ascii="Arial" w:hAnsi="Arial" w:cs="Arial"/>
          <w:sz w:val="24"/>
          <w:szCs w:val="24"/>
        </w:rPr>
        <w:tab/>
      </w:r>
      <w:r w:rsidR="00694152">
        <w:rPr>
          <w:rFonts w:ascii="Arial" w:hAnsi="Arial" w:cs="Arial"/>
          <w:sz w:val="24"/>
          <w:szCs w:val="24"/>
        </w:rPr>
        <w:tab/>
      </w:r>
      <w:r w:rsidR="00694152">
        <w:rPr>
          <w:rFonts w:ascii="Arial" w:hAnsi="Arial" w:cs="Arial"/>
          <w:sz w:val="24"/>
          <w:szCs w:val="24"/>
        </w:rPr>
        <w:tab/>
        <w:t xml:space="preserve">        </w:t>
      </w:r>
      <w:r w:rsidRPr="00102E9C">
        <w:rPr>
          <w:rFonts w:ascii="Arial" w:hAnsi="Arial" w:cs="Arial"/>
          <w:sz w:val="24"/>
          <w:szCs w:val="24"/>
        </w:rPr>
        <w:t>Signature</w:t>
      </w:r>
    </w:p>
    <w:p w:rsidR="00102E9C" w:rsidRPr="00102E9C" w:rsidRDefault="00102E9C" w:rsidP="00102E9C">
      <w:pPr>
        <w:spacing w:line="240" w:lineRule="auto"/>
        <w:ind w:left="450"/>
        <w:contextualSpacing/>
        <w:rPr>
          <w:rFonts w:ascii="Arial" w:hAnsi="Arial" w:cs="Arial"/>
          <w:sz w:val="24"/>
          <w:szCs w:val="24"/>
        </w:rPr>
      </w:pPr>
    </w:p>
    <w:p w:rsidR="00102E9C" w:rsidRPr="00102E9C" w:rsidRDefault="00102E9C" w:rsidP="00102E9C">
      <w:pPr>
        <w:spacing w:line="240" w:lineRule="auto"/>
        <w:ind w:left="450"/>
        <w:contextualSpacing/>
        <w:jc w:val="right"/>
        <w:rPr>
          <w:rFonts w:ascii="Arial" w:hAnsi="Arial" w:cs="Arial"/>
          <w:b/>
          <w:sz w:val="24"/>
          <w:szCs w:val="24"/>
        </w:rPr>
      </w:pPr>
      <w:r w:rsidRPr="00102E9C">
        <w:rPr>
          <w:rFonts w:ascii="Arial" w:hAnsi="Arial" w:cs="Arial"/>
          <w:b/>
          <w:sz w:val="24"/>
          <w:szCs w:val="24"/>
        </w:rPr>
        <w:t>[INSERT OFFEROR NAME]</w:t>
      </w:r>
    </w:p>
    <w:p w:rsidR="00102E9C" w:rsidRPr="00102E9C" w:rsidRDefault="00102E9C" w:rsidP="00102E9C">
      <w:pPr>
        <w:spacing w:line="240" w:lineRule="auto"/>
        <w:ind w:left="450"/>
        <w:contextualSpacing/>
        <w:jc w:val="right"/>
        <w:rPr>
          <w:rFonts w:ascii="Arial" w:hAnsi="Arial" w:cs="Arial"/>
          <w:b/>
          <w:sz w:val="24"/>
          <w:szCs w:val="24"/>
        </w:rPr>
      </w:pPr>
      <w:r w:rsidRPr="00102E9C">
        <w:rPr>
          <w:rFonts w:ascii="Arial" w:hAnsi="Arial" w:cs="Arial"/>
          <w:b/>
          <w:sz w:val="24"/>
          <w:szCs w:val="24"/>
        </w:rPr>
        <w:t>[INSERT TITLE]</w:t>
      </w:r>
    </w:p>
    <w:p w:rsidR="00102E9C" w:rsidRPr="00102E9C" w:rsidRDefault="00102E9C" w:rsidP="00102E9C">
      <w:pPr>
        <w:spacing w:line="240" w:lineRule="auto"/>
        <w:ind w:left="450"/>
        <w:contextualSpacing/>
        <w:jc w:val="right"/>
        <w:rPr>
          <w:rFonts w:ascii="Arial" w:hAnsi="Arial" w:cs="Arial"/>
          <w:b/>
          <w:sz w:val="24"/>
          <w:szCs w:val="24"/>
        </w:rPr>
      </w:pPr>
      <w:r w:rsidRPr="00102E9C">
        <w:rPr>
          <w:rFonts w:ascii="Arial" w:hAnsi="Arial" w:cs="Arial"/>
          <w:b/>
          <w:sz w:val="24"/>
          <w:szCs w:val="24"/>
        </w:rPr>
        <w:t>[INSERT COMPANY NAME]</w:t>
      </w:r>
    </w:p>
    <w:p w:rsidR="00102E9C" w:rsidRPr="00102E9C" w:rsidRDefault="00102E9C" w:rsidP="00102E9C">
      <w:pPr>
        <w:spacing w:line="240" w:lineRule="auto"/>
        <w:ind w:left="450"/>
        <w:contextualSpacing/>
        <w:rPr>
          <w:rFonts w:ascii="Arial" w:hAnsi="Arial" w:cs="Arial"/>
          <w:sz w:val="24"/>
          <w:szCs w:val="24"/>
        </w:rPr>
      </w:pPr>
    </w:p>
    <w:p w:rsidR="00102E9C" w:rsidRPr="00102E9C" w:rsidRDefault="00102E9C" w:rsidP="00102E9C">
      <w:pPr>
        <w:spacing w:line="240" w:lineRule="auto"/>
        <w:ind w:left="450"/>
        <w:contextualSpacing/>
        <w:rPr>
          <w:rFonts w:ascii="Arial" w:hAnsi="Arial" w:cs="Arial"/>
          <w:sz w:val="24"/>
          <w:szCs w:val="24"/>
        </w:rPr>
      </w:pP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jc w:val="center"/>
        <w:rPr>
          <w:rFonts w:ascii="Arial" w:hAnsi="Arial" w:cs="Arial"/>
          <w:b/>
          <w:sz w:val="24"/>
          <w:szCs w:val="24"/>
          <w:u w:val="single"/>
        </w:rPr>
      </w:pPr>
      <w:r w:rsidRPr="00102E9C">
        <w:rPr>
          <w:rFonts w:ascii="Arial" w:hAnsi="Arial" w:cs="Arial"/>
          <w:b/>
          <w:sz w:val="24"/>
          <w:szCs w:val="24"/>
          <w:u w:val="single"/>
        </w:rPr>
        <w:t>CORPORATE OR PARTNERSHIP ACKNOWLEDGMENT</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b/>
          <w:sz w:val="24"/>
          <w:szCs w:val="24"/>
        </w:rPr>
      </w:pPr>
      <w:r w:rsidRPr="00102E9C">
        <w:rPr>
          <w:rFonts w:ascii="Arial" w:hAnsi="Arial" w:cs="Arial"/>
          <w:b/>
          <w:sz w:val="24"/>
          <w:szCs w:val="24"/>
        </w:rPr>
        <w:t xml:space="preserve">STATE OF </w:t>
      </w:r>
      <w:r w:rsidRPr="00102E9C">
        <w:rPr>
          <w:rFonts w:ascii="Arial" w:hAnsi="Arial" w:cs="Arial"/>
          <w:b/>
          <w:sz w:val="24"/>
          <w:szCs w:val="24"/>
        </w:rPr>
        <w:tab/>
        <w:t xml:space="preserve">      </w:t>
      </w:r>
      <w:r w:rsidRPr="00102E9C">
        <w:rPr>
          <w:rFonts w:ascii="Arial" w:hAnsi="Arial" w:cs="Arial"/>
          <w:b/>
          <w:sz w:val="24"/>
          <w:szCs w:val="24"/>
        </w:rPr>
        <w:tab/>
      </w:r>
      <w:r w:rsidRPr="00102E9C">
        <w:rPr>
          <w:rFonts w:ascii="Arial" w:hAnsi="Arial" w:cs="Arial"/>
          <w:b/>
          <w:sz w:val="24"/>
          <w:szCs w:val="24"/>
        </w:rPr>
        <w:tab/>
        <w:t xml:space="preserve">    }</w:t>
      </w:r>
      <w:r w:rsidRPr="00102E9C">
        <w:rPr>
          <w:rFonts w:ascii="Arial" w:hAnsi="Arial" w:cs="Arial"/>
          <w:b/>
          <w:sz w:val="24"/>
          <w:szCs w:val="24"/>
        </w:rPr>
        <w:tab/>
        <w:t xml:space="preserve">     </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jc w:val="center"/>
        <w:rPr>
          <w:rFonts w:ascii="Arial" w:hAnsi="Arial" w:cs="Arial"/>
          <w:b/>
          <w:sz w:val="24"/>
          <w:szCs w:val="24"/>
        </w:rPr>
      </w:pPr>
      <w:r w:rsidRPr="00102E9C">
        <w:rPr>
          <w:rFonts w:ascii="Arial" w:hAnsi="Arial" w:cs="Arial"/>
          <w:b/>
          <w:sz w:val="24"/>
          <w:szCs w:val="24"/>
        </w:rPr>
        <w:t>:</w:t>
      </w:r>
      <w:r w:rsidRPr="00102E9C">
        <w:rPr>
          <w:rFonts w:ascii="Arial" w:hAnsi="Arial" w:cs="Arial"/>
          <w:b/>
          <w:sz w:val="24"/>
          <w:szCs w:val="24"/>
        </w:rPr>
        <w:tab/>
        <w:t>SS.:</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b/>
          <w:sz w:val="24"/>
          <w:szCs w:val="24"/>
        </w:rPr>
      </w:pPr>
      <w:r w:rsidRPr="00102E9C">
        <w:rPr>
          <w:rFonts w:ascii="Arial" w:hAnsi="Arial" w:cs="Arial"/>
          <w:b/>
          <w:sz w:val="24"/>
          <w:szCs w:val="24"/>
        </w:rPr>
        <w:t>COUNTY OF</w:t>
      </w:r>
      <w:r w:rsidRPr="00102E9C">
        <w:rPr>
          <w:rFonts w:ascii="Arial" w:hAnsi="Arial" w:cs="Arial"/>
          <w:b/>
          <w:sz w:val="24"/>
          <w:szCs w:val="24"/>
        </w:rPr>
        <w:tab/>
      </w:r>
      <w:r w:rsidRPr="00102E9C">
        <w:rPr>
          <w:rFonts w:ascii="Arial" w:hAnsi="Arial" w:cs="Arial"/>
          <w:b/>
          <w:sz w:val="24"/>
          <w:szCs w:val="24"/>
        </w:rPr>
        <w:tab/>
        <w:t xml:space="preserve"> </w:t>
      </w:r>
      <w:r w:rsidRPr="00102E9C">
        <w:rPr>
          <w:rFonts w:ascii="Arial" w:hAnsi="Arial" w:cs="Arial"/>
          <w:b/>
          <w:sz w:val="24"/>
          <w:szCs w:val="24"/>
        </w:rPr>
        <w:tab/>
      </w:r>
      <w:r w:rsidRPr="00102E9C">
        <w:rPr>
          <w:rFonts w:ascii="Arial" w:hAnsi="Arial" w:cs="Arial"/>
          <w:b/>
          <w:sz w:val="24"/>
          <w:szCs w:val="24"/>
        </w:rPr>
        <w:tab/>
        <w:t xml:space="preserve">    }     </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r w:rsidRPr="00102E9C">
        <w:rPr>
          <w:rFonts w:ascii="Arial" w:hAnsi="Arial" w:cs="Arial"/>
          <w:sz w:val="24"/>
          <w:szCs w:val="24"/>
        </w:rPr>
        <w:t>On the ____ day of  ___________________in the year 2015, before me personally appeared: ________________________________,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b/>
          <w:sz w:val="24"/>
          <w:szCs w:val="24"/>
        </w:rPr>
      </w:pPr>
      <w:r w:rsidRPr="00102E9C">
        <w:rPr>
          <w:rFonts w:ascii="Arial" w:hAnsi="Arial" w:cs="Arial"/>
          <w:b/>
          <w:sz w:val="24"/>
          <w:szCs w:val="24"/>
        </w:rPr>
        <w:t>[Check One]</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r w:rsidRPr="00102E9C">
        <w:rPr>
          <w:rFonts w:ascii="Arial" w:hAnsi="Arial" w:cs="Arial"/>
          <w:b/>
          <w:sz w:val="24"/>
          <w:szCs w:val="24"/>
        </w:rPr>
        <w:t xml:space="preserve"> ( ___ If a corporation):</w:t>
      </w:r>
      <w:r w:rsidRPr="00102E9C">
        <w:rPr>
          <w:rFonts w:ascii="Arial" w:hAnsi="Arial" w:cs="Arial"/>
          <w:sz w:val="24"/>
          <w:szCs w:val="24"/>
        </w:rPr>
        <w:t xml:space="preserve"> 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proofErr w:type="gramStart"/>
      <w:r w:rsidRPr="00102E9C">
        <w:rPr>
          <w:rFonts w:ascii="Arial" w:hAnsi="Arial" w:cs="Arial"/>
          <w:b/>
          <w:sz w:val="24"/>
          <w:szCs w:val="24"/>
        </w:rPr>
        <w:t>( _</w:t>
      </w:r>
      <w:proofErr w:type="gramEnd"/>
      <w:r w:rsidRPr="00102E9C">
        <w:rPr>
          <w:rFonts w:ascii="Arial" w:hAnsi="Arial" w:cs="Arial"/>
          <w:b/>
          <w:sz w:val="24"/>
          <w:szCs w:val="24"/>
        </w:rPr>
        <w:t>__If a partnership):</w:t>
      </w:r>
      <w:r w:rsidRPr="00102E9C">
        <w:rPr>
          <w:rFonts w:ascii="Arial" w:hAnsi="Arial" w:cs="Arial"/>
          <w:sz w:val="24"/>
          <w:szCs w:val="24"/>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sz w:val="24"/>
          <w:szCs w:val="24"/>
        </w:rPr>
      </w:pP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b/>
          <w:sz w:val="24"/>
          <w:szCs w:val="24"/>
        </w:rPr>
      </w:pPr>
      <w:r w:rsidRPr="00102E9C">
        <w:rPr>
          <w:rFonts w:ascii="Arial" w:hAnsi="Arial" w:cs="Arial"/>
          <w:b/>
          <w:sz w:val="24"/>
          <w:szCs w:val="24"/>
        </w:rPr>
        <w:t>________________________________________________</w:t>
      </w:r>
    </w:p>
    <w:p w:rsidR="00102E9C" w:rsidRPr="00102E9C" w:rsidRDefault="00102E9C" w:rsidP="00102E9C">
      <w:pPr>
        <w:pBdr>
          <w:top w:val="single" w:sz="4" w:space="1" w:color="auto"/>
          <w:left w:val="single" w:sz="4" w:space="4" w:color="auto"/>
          <w:bottom w:val="single" w:sz="4" w:space="1" w:color="auto"/>
          <w:right w:val="single" w:sz="4" w:space="4" w:color="auto"/>
        </w:pBdr>
        <w:spacing w:line="240" w:lineRule="auto"/>
        <w:ind w:left="450"/>
        <w:contextualSpacing/>
        <w:rPr>
          <w:rFonts w:ascii="Arial" w:hAnsi="Arial" w:cs="Arial"/>
          <w:b/>
          <w:sz w:val="24"/>
          <w:szCs w:val="24"/>
        </w:rPr>
      </w:pPr>
      <w:r w:rsidRPr="00102E9C">
        <w:rPr>
          <w:rFonts w:ascii="Arial" w:hAnsi="Arial" w:cs="Arial"/>
          <w:b/>
          <w:sz w:val="24"/>
          <w:szCs w:val="24"/>
        </w:rPr>
        <w:t>Notary Public</w:t>
      </w:r>
    </w:p>
    <w:p w:rsidR="00102E9C" w:rsidRPr="00102E9C" w:rsidRDefault="00102E9C" w:rsidP="00102E9C">
      <w:pPr>
        <w:spacing w:line="240" w:lineRule="auto"/>
        <w:ind w:left="450"/>
        <w:contextualSpacing/>
        <w:rPr>
          <w:rFonts w:ascii="Arial" w:hAnsi="Arial" w:cs="Arial"/>
          <w:b/>
          <w:sz w:val="24"/>
          <w:szCs w:val="24"/>
        </w:rPr>
      </w:pPr>
    </w:p>
    <w:p w:rsidR="00102E9C" w:rsidRPr="00102E9C" w:rsidRDefault="00102E9C" w:rsidP="00102E9C">
      <w:pPr>
        <w:spacing w:line="240" w:lineRule="auto"/>
        <w:ind w:left="450"/>
        <w:contextualSpacing/>
        <w:rPr>
          <w:rFonts w:ascii="Arial" w:hAnsi="Arial" w:cs="Arial"/>
          <w:sz w:val="24"/>
          <w:szCs w:val="24"/>
        </w:rPr>
      </w:pPr>
    </w:p>
    <w:p w:rsidR="00102E9C" w:rsidRPr="00102E9C" w:rsidRDefault="00102E9C" w:rsidP="00102E9C">
      <w:pPr>
        <w:spacing w:line="240" w:lineRule="auto"/>
        <w:ind w:left="450"/>
        <w:contextualSpacing/>
        <w:rPr>
          <w:rFonts w:ascii="Times New Roman" w:hAnsi="Times New Roman" w:cs="Times New Roman"/>
          <w:sz w:val="24"/>
          <w:szCs w:val="24"/>
        </w:rPr>
      </w:pPr>
    </w:p>
    <w:p w:rsidR="00D37A04" w:rsidRDefault="00D37A04" w:rsidP="002C0AF8">
      <w:pPr>
        <w:spacing w:line="240" w:lineRule="auto"/>
      </w:pPr>
    </w:p>
    <w:sectPr w:rsidR="00D37A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86" w:rsidRDefault="000B0B86" w:rsidP="00D37A04">
      <w:pPr>
        <w:spacing w:after="0" w:line="240" w:lineRule="auto"/>
      </w:pPr>
      <w:r>
        <w:separator/>
      </w:r>
    </w:p>
  </w:endnote>
  <w:endnote w:type="continuationSeparator" w:id="0">
    <w:p w:rsidR="000B0B86" w:rsidRDefault="000B0B86" w:rsidP="00D3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Arial"/>
        <w:b/>
        <w:sz w:val="20"/>
        <w:szCs w:val="20"/>
      </w:rPr>
      <w:id w:val="2000921805"/>
      <w:docPartObj>
        <w:docPartGallery w:val="Page Numbers (Bottom of Page)"/>
        <w:docPartUnique/>
      </w:docPartObj>
    </w:sdtPr>
    <w:sdtEndPr/>
    <w:sdtContent>
      <w:sdt>
        <w:sdtPr>
          <w:rPr>
            <w:rFonts w:ascii="Arial" w:eastAsia="Times New Roman" w:hAnsi="Arial" w:cs="Arial"/>
            <w:b/>
            <w:sz w:val="20"/>
            <w:szCs w:val="20"/>
          </w:rPr>
          <w:id w:val="-1682195663"/>
          <w:docPartObj>
            <w:docPartGallery w:val="Page Numbers (Top of Page)"/>
            <w:docPartUnique/>
          </w:docPartObj>
        </w:sdtPr>
        <w:sdtEndPr/>
        <w:sdtContent>
          <w:p w:rsidR="00D37A04" w:rsidRPr="00D37A04" w:rsidRDefault="00D37A04" w:rsidP="00D37A04">
            <w:pPr>
              <w:tabs>
                <w:tab w:val="center" w:pos="4680"/>
                <w:tab w:val="right" w:pos="9360"/>
              </w:tabs>
              <w:spacing w:after="0" w:line="240" w:lineRule="auto"/>
              <w:jc w:val="right"/>
              <w:rPr>
                <w:rFonts w:ascii="Arial" w:eastAsia="Times New Roman" w:hAnsi="Arial" w:cs="Arial"/>
                <w:b/>
                <w:sz w:val="20"/>
                <w:szCs w:val="20"/>
              </w:rPr>
            </w:pPr>
            <w:r w:rsidRPr="00CD313B">
              <w:rPr>
                <w:rFonts w:ascii="Arial" w:eastAsia="Times New Roman" w:hAnsi="Arial" w:cs="Arial"/>
                <w:b/>
                <w:sz w:val="20"/>
                <w:szCs w:val="20"/>
              </w:rPr>
              <w:t xml:space="preserve">Page </w:t>
            </w:r>
            <w:r w:rsidRPr="00CD313B">
              <w:rPr>
                <w:rFonts w:ascii="Arial" w:eastAsia="Times New Roman" w:hAnsi="Arial" w:cs="Arial"/>
                <w:b/>
                <w:bCs/>
                <w:sz w:val="20"/>
                <w:szCs w:val="20"/>
              </w:rPr>
              <w:fldChar w:fldCharType="begin"/>
            </w:r>
            <w:r w:rsidRPr="00CD313B">
              <w:rPr>
                <w:rFonts w:ascii="Arial" w:eastAsia="Times New Roman" w:hAnsi="Arial" w:cs="Arial"/>
                <w:b/>
                <w:bCs/>
                <w:sz w:val="20"/>
                <w:szCs w:val="20"/>
              </w:rPr>
              <w:instrText xml:space="preserve"> PAGE </w:instrText>
            </w:r>
            <w:r w:rsidRPr="00CD313B">
              <w:rPr>
                <w:rFonts w:ascii="Arial" w:eastAsia="Times New Roman" w:hAnsi="Arial" w:cs="Arial"/>
                <w:b/>
                <w:bCs/>
                <w:sz w:val="20"/>
                <w:szCs w:val="20"/>
              </w:rPr>
              <w:fldChar w:fldCharType="separate"/>
            </w:r>
            <w:r w:rsidR="00A65191">
              <w:rPr>
                <w:rFonts w:ascii="Arial" w:eastAsia="Times New Roman" w:hAnsi="Arial" w:cs="Arial"/>
                <w:b/>
                <w:bCs/>
                <w:noProof/>
                <w:sz w:val="20"/>
                <w:szCs w:val="20"/>
              </w:rPr>
              <w:t>1</w:t>
            </w:r>
            <w:r w:rsidRPr="00CD313B">
              <w:rPr>
                <w:rFonts w:ascii="Arial" w:eastAsia="Times New Roman" w:hAnsi="Arial" w:cs="Arial"/>
                <w:b/>
                <w:bCs/>
                <w:sz w:val="20"/>
                <w:szCs w:val="20"/>
              </w:rPr>
              <w:fldChar w:fldCharType="end"/>
            </w:r>
            <w:r w:rsidRPr="00CD313B">
              <w:rPr>
                <w:rFonts w:ascii="Arial" w:eastAsia="Times New Roman" w:hAnsi="Arial" w:cs="Arial"/>
                <w:b/>
                <w:sz w:val="20"/>
                <w:szCs w:val="20"/>
              </w:rPr>
              <w:t xml:space="preserve"> of </w:t>
            </w:r>
            <w:r w:rsidRPr="00CD313B">
              <w:rPr>
                <w:rFonts w:ascii="Arial" w:eastAsia="Times New Roman" w:hAnsi="Arial" w:cs="Arial"/>
                <w:b/>
                <w:bCs/>
                <w:sz w:val="20"/>
                <w:szCs w:val="20"/>
              </w:rPr>
              <w:fldChar w:fldCharType="begin"/>
            </w:r>
            <w:r w:rsidRPr="00CD313B">
              <w:rPr>
                <w:rFonts w:ascii="Arial" w:eastAsia="Times New Roman" w:hAnsi="Arial" w:cs="Arial"/>
                <w:b/>
                <w:bCs/>
                <w:sz w:val="20"/>
                <w:szCs w:val="20"/>
              </w:rPr>
              <w:instrText xml:space="preserve"> NUMPAGES  </w:instrText>
            </w:r>
            <w:r w:rsidRPr="00CD313B">
              <w:rPr>
                <w:rFonts w:ascii="Arial" w:eastAsia="Times New Roman" w:hAnsi="Arial" w:cs="Arial"/>
                <w:b/>
                <w:bCs/>
                <w:sz w:val="20"/>
                <w:szCs w:val="20"/>
              </w:rPr>
              <w:fldChar w:fldCharType="separate"/>
            </w:r>
            <w:r w:rsidR="00A65191">
              <w:rPr>
                <w:rFonts w:ascii="Arial" w:eastAsia="Times New Roman" w:hAnsi="Arial" w:cs="Arial"/>
                <w:b/>
                <w:bCs/>
                <w:noProof/>
                <w:sz w:val="20"/>
                <w:szCs w:val="20"/>
              </w:rPr>
              <w:t>4</w:t>
            </w:r>
            <w:r w:rsidRPr="00CD313B">
              <w:rPr>
                <w:rFonts w:ascii="Arial" w:eastAsia="Times New Roman"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86" w:rsidRDefault="000B0B86" w:rsidP="00D37A04">
      <w:pPr>
        <w:spacing w:after="0" w:line="240" w:lineRule="auto"/>
      </w:pPr>
      <w:r>
        <w:separator/>
      </w:r>
    </w:p>
  </w:footnote>
  <w:footnote w:type="continuationSeparator" w:id="0">
    <w:p w:rsidR="000B0B86" w:rsidRDefault="000B0B86" w:rsidP="00D37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04" w:rsidRPr="00CD313B" w:rsidRDefault="00573C6E" w:rsidP="00D37A04">
    <w:pPr>
      <w:pStyle w:val="Header"/>
      <w:tabs>
        <w:tab w:val="clear" w:pos="4680"/>
        <w:tab w:val="clear" w:pos="9360"/>
        <w:tab w:val="left" w:pos="5850"/>
      </w:tabs>
      <w:rPr>
        <w:rFonts w:ascii="Arial" w:hAnsi="Arial" w:cs="Arial"/>
      </w:rPr>
    </w:pPr>
    <w:r>
      <w:rPr>
        <w:rFonts w:ascii="Arial" w:hAnsi="Arial" w:cs="Arial"/>
        <w:b/>
        <w:sz w:val="24"/>
        <w:szCs w:val="24"/>
      </w:rPr>
      <w:t>Exhibit I.T.2</w:t>
    </w:r>
  </w:p>
  <w:p w:rsidR="00D37A04" w:rsidRDefault="00D37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363"/>
    <w:multiLevelType w:val="hybridMultilevel"/>
    <w:tmpl w:val="F208E17C"/>
    <w:lvl w:ilvl="0" w:tplc="41582BB2">
      <w:start w:val="1"/>
      <w:numFmt w:val="lowerLetter"/>
      <w:lvlText w:val="%1."/>
      <w:lvlJc w:val="left"/>
      <w:pPr>
        <w:ind w:left="126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1FF48D0"/>
    <w:multiLevelType w:val="hybridMultilevel"/>
    <w:tmpl w:val="4114FB66"/>
    <w:lvl w:ilvl="0" w:tplc="41582BB2">
      <w:start w:val="1"/>
      <w:numFmt w:val="lowerLetter"/>
      <w:lvlText w:val="%1."/>
      <w:lvlJc w:val="left"/>
      <w:pPr>
        <w:ind w:left="5850" w:hanging="360"/>
      </w:pPr>
      <w:rPr>
        <w:rFonts w:hint="default"/>
        <w:b w:val="0"/>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nsid w:val="0A5D401F"/>
    <w:multiLevelType w:val="hybridMultilevel"/>
    <w:tmpl w:val="648CBE94"/>
    <w:lvl w:ilvl="0" w:tplc="4FF49C90">
      <w:start w:val="1"/>
      <w:numFmt w:val="decimal"/>
      <w:lvlText w:val="(%1)"/>
      <w:lvlJc w:val="left"/>
      <w:pPr>
        <w:ind w:left="450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43B528F"/>
    <w:multiLevelType w:val="hybridMultilevel"/>
    <w:tmpl w:val="219E2B94"/>
    <w:lvl w:ilvl="0" w:tplc="41582BB2">
      <w:start w:val="1"/>
      <w:numFmt w:val="lowerLetter"/>
      <w:lvlText w:val="%1."/>
      <w:lvlJc w:val="left"/>
      <w:pPr>
        <w:ind w:left="207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D4C1FB2"/>
    <w:multiLevelType w:val="hybridMultilevel"/>
    <w:tmpl w:val="01EAC93C"/>
    <w:lvl w:ilvl="0" w:tplc="B8DEAD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351B8"/>
    <w:multiLevelType w:val="hybridMultilevel"/>
    <w:tmpl w:val="AA1A2A12"/>
    <w:lvl w:ilvl="0" w:tplc="41582BB2">
      <w:start w:val="1"/>
      <w:numFmt w:val="lowerLetter"/>
      <w:lvlText w:val="%1."/>
      <w:lvlJc w:val="left"/>
      <w:pPr>
        <w:ind w:left="5220" w:hanging="360"/>
      </w:pPr>
      <w:rPr>
        <w:rFonts w:hint="default"/>
        <w:b w:val="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6">
    <w:nsid w:val="3336696B"/>
    <w:multiLevelType w:val="hybridMultilevel"/>
    <w:tmpl w:val="12B88E2A"/>
    <w:lvl w:ilvl="0" w:tplc="41582BB2">
      <w:start w:val="1"/>
      <w:numFmt w:val="lowerLetter"/>
      <w:lvlText w:val="%1."/>
      <w:lvlJc w:val="left"/>
      <w:pPr>
        <w:ind w:left="4590" w:hanging="360"/>
      </w:pPr>
      <w:rPr>
        <w:rFonts w:hint="default"/>
        <w:b w:val="0"/>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7">
    <w:nsid w:val="40054020"/>
    <w:multiLevelType w:val="hybridMultilevel"/>
    <w:tmpl w:val="A2E4AF8C"/>
    <w:lvl w:ilvl="0" w:tplc="4FF49C90">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B2E6C"/>
    <w:multiLevelType w:val="hybridMultilevel"/>
    <w:tmpl w:val="D03E69D8"/>
    <w:lvl w:ilvl="0" w:tplc="B86E0386">
      <w:start w:val="2"/>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90933"/>
    <w:multiLevelType w:val="hybridMultilevel"/>
    <w:tmpl w:val="D8A4A638"/>
    <w:lvl w:ilvl="0" w:tplc="D29AD918">
      <w:start w:val="2"/>
      <w:numFmt w:val="decimal"/>
      <w:lvlText w:val="%1."/>
      <w:lvlJc w:val="left"/>
      <w:pPr>
        <w:ind w:left="360" w:hanging="360"/>
      </w:pPr>
      <w:rPr>
        <w:rFonts w:hint="default"/>
        <w:b/>
      </w:rPr>
    </w:lvl>
    <w:lvl w:ilvl="1" w:tplc="41582BB2">
      <w:start w:val="1"/>
      <w:numFmt w:val="lowerLetter"/>
      <w:lvlText w:val="%2."/>
      <w:lvlJc w:val="left"/>
      <w:pPr>
        <w:ind w:left="810" w:hanging="360"/>
      </w:pPr>
      <w:rPr>
        <w:rFonts w:hint="default"/>
        <w:b w:val="0"/>
      </w:rPr>
    </w:lvl>
    <w:lvl w:ilvl="2" w:tplc="4FF49C90">
      <w:start w:val="1"/>
      <w:numFmt w:val="decimal"/>
      <w:lvlText w:val="(%3)"/>
      <w:lvlJc w:val="left"/>
      <w:pPr>
        <w:ind w:left="1260" w:hanging="360"/>
      </w:pPr>
      <w:rPr>
        <w:rFonts w:hint="default"/>
        <w:b/>
      </w:rPr>
    </w:lvl>
    <w:lvl w:ilvl="3" w:tplc="0A8E6B1A">
      <w:start w:val="1"/>
      <w:numFmt w:val="decimal"/>
      <w:lvlText w:val="(%4)"/>
      <w:lvlJc w:val="left"/>
      <w:pPr>
        <w:ind w:left="2520" w:hanging="360"/>
      </w:pPr>
      <w:rPr>
        <w:rFonts w:hint="default"/>
        <w:b/>
        <w:u w:val="none"/>
      </w:rPr>
    </w:lvl>
    <w:lvl w:ilvl="4" w:tplc="42EA8896">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8542E6"/>
    <w:multiLevelType w:val="hybridMultilevel"/>
    <w:tmpl w:val="82965104"/>
    <w:lvl w:ilvl="0" w:tplc="4FF49C90">
      <w:start w:val="1"/>
      <w:numFmt w:val="decimal"/>
      <w:lvlText w:val="(%1)"/>
      <w:lvlJc w:val="left"/>
      <w:pPr>
        <w:ind w:left="234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4466C0"/>
    <w:multiLevelType w:val="hybridMultilevel"/>
    <w:tmpl w:val="4086DA2E"/>
    <w:lvl w:ilvl="0" w:tplc="41582BB2">
      <w:start w:val="1"/>
      <w:numFmt w:val="lowerLetter"/>
      <w:lvlText w:val="%1."/>
      <w:lvlJc w:val="left"/>
      <w:pPr>
        <w:ind w:left="333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6390B23"/>
    <w:multiLevelType w:val="hybridMultilevel"/>
    <w:tmpl w:val="031490FE"/>
    <w:lvl w:ilvl="0" w:tplc="27BA5530">
      <w:start w:val="2"/>
      <w:numFmt w:val="decimal"/>
      <w:lvlText w:val="(%1)"/>
      <w:lvlJc w:val="left"/>
      <w:pPr>
        <w:ind w:left="450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0451C"/>
    <w:multiLevelType w:val="hybridMultilevel"/>
    <w:tmpl w:val="F9C45E5E"/>
    <w:lvl w:ilvl="0" w:tplc="4FF49C90">
      <w:start w:val="1"/>
      <w:numFmt w:val="decimal"/>
      <w:lvlText w:val="(%1)"/>
      <w:lvlJc w:val="left"/>
      <w:pPr>
        <w:ind w:left="342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15E0F99"/>
    <w:multiLevelType w:val="hybridMultilevel"/>
    <w:tmpl w:val="4D447FE4"/>
    <w:lvl w:ilvl="0" w:tplc="41582BB2">
      <w:start w:val="1"/>
      <w:numFmt w:val="lowerLetter"/>
      <w:lvlText w:val="%1."/>
      <w:lvlJc w:val="left"/>
      <w:pPr>
        <w:ind w:left="3960"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nsid w:val="685B38ED"/>
    <w:multiLevelType w:val="hybridMultilevel"/>
    <w:tmpl w:val="130C27D6"/>
    <w:lvl w:ilvl="0" w:tplc="41582BB2">
      <w:start w:val="1"/>
      <w:numFmt w:val="lowerLetter"/>
      <w:lvlText w:val="%1."/>
      <w:lvlJc w:val="left"/>
      <w:pPr>
        <w:ind w:left="144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0E72895"/>
    <w:multiLevelType w:val="hybridMultilevel"/>
    <w:tmpl w:val="D1147596"/>
    <w:lvl w:ilvl="0" w:tplc="8854A680">
      <w:start w:val="1"/>
      <w:numFmt w:val="lowerLetter"/>
      <w:lvlText w:val="(%1)"/>
      <w:lvlJc w:val="left"/>
      <w:pPr>
        <w:ind w:left="1440" w:hanging="360"/>
      </w:pPr>
      <w:rPr>
        <w:rFonts w:hint="default"/>
        <w:b/>
        <w:color w:val="auto"/>
        <w:u w:val="none"/>
      </w:rPr>
    </w:lvl>
    <w:lvl w:ilvl="1" w:tplc="A1C23D04">
      <w:start w:val="1"/>
      <w:numFmt w:val="lowerRoman"/>
      <w:lvlText w:val="(%2)"/>
      <w:lvlJc w:val="righ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764FDF"/>
    <w:multiLevelType w:val="hybridMultilevel"/>
    <w:tmpl w:val="D8CE0230"/>
    <w:lvl w:ilvl="0" w:tplc="5440920A">
      <w:start w:val="1"/>
      <w:numFmt w:val="decimal"/>
      <w:lvlText w:val="(%1)"/>
      <w:lvlJc w:val="left"/>
      <w:pPr>
        <w:ind w:left="1260" w:hanging="360"/>
      </w:pPr>
      <w:rPr>
        <w:rFonts w:hint="default"/>
        <w:b/>
      </w:rPr>
    </w:lvl>
    <w:lvl w:ilvl="1" w:tplc="74A43E50">
      <w:start w:val="1"/>
      <w:numFmt w:val="lowerLetter"/>
      <w:lvlText w:val="(%2)"/>
      <w:lvlJc w:val="left"/>
      <w:pPr>
        <w:ind w:left="1800" w:hanging="360"/>
      </w:pPr>
      <w:rPr>
        <w:rFonts w:hint="default"/>
        <w:b/>
        <w:u w:val="none"/>
      </w:rPr>
    </w:lvl>
    <w:lvl w:ilvl="2" w:tplc="439E5F98">
      <w:start w:val="1"/>
      <w:numFmt w:val="lowerRoman"/>
      <w:lvlText w:val="(%3)"/>
      <w:lvlJc w:val="righ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0C1055"/>
    <w:multiLevelType w:val="hybridMultilevel"/>
    <w:tmpl w:val="74BA9884"/>
    <w:lvl w:ilvl="0" w:tplc="41582BB2">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A307F"/>
    <w:multiLevelType w:val="hybridMultilevel"/>
    <w:tmpl w:val="6EA8B93E"/>
    <w:lvl w:ilvl="0" w:tplc="41582BB2">
      <w:start w:val="1"/>
      <w:numFmt w:val="lowerLetter"/>
      <w:lvlText w:val="%1."/>
      <w:lvlJc w:val="left"/>
      <w:pPr>
        <w:ind w:left="270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4"/>
  </w:num>
  <w:num w:numId="2">
    <w:abstractNumId w:val="9"/>
  </w:num>
  <w:num w:numId="3">
    <w:abstractNumId w:val="18"/>
  </w:num>
  <w:num w:numId="4">
    <w:abstractNumId w:val="15"/>
  </w:num>
  <w:num w:numId="5">
    <w:abstractNumId w:val="0"/>
  </w:num>
  <w:num w:numId="6">
    <w:abstractNumId w:val="3"/>
  </w:num>
  <w:num w:numId="7">
    <w:abstractNumId w:val="7"/>
  </w:num>
  <w:num w:numId="8">
    <w:abstractNumId w:val="8"/>
  </w:num>
  <w:num w:numId="9">
    <w:abstractNumId w:val="19"/>
  </w:num>
  <w:num w:numId="10">
    <w:abstractNumId w:val="11"/>
  </w:num>
  <w:num w:numId="11">
    <w:abstractNumId w:val="10"/>
  </w:num>
  <w:num w:numId="12">
    <w:abstractNumId w:val="14"/>
  </w:num>
  <w:num w:numId="13">
    <w:abstractNumId w:val="13"/>
  </w:num>
  <w:num w:numId="14">
    <w:abstractNumId w:val="6"/>
  </w:num>
  <w:num w:numId="15">
    <w:abstractNumId w:val="2"/>
  </w:num>
  <w:num w:numId="16">
    <w:abstractNumId w:val="5"/>
  </w:num>
  <w:num w:numId="17">
    <w:abstractNumId w:val="12"/>
  </w:num>
  <w:num w:numId="18">
    <w:abstractNumId w:val="1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04"/>
    <w:rsid w:val="000B0B86"/>
    <w:rsid w:val="00102E9C"/>
    <w:rsid w:val="00225DB5"/>
    <w:rsid w:val="002C0AF8"/>
    <w:rsid w:val="00355903"/>
    <w:rsid w:val="00573C6E"/>
    <w:rsid w:val="00605502"/>
    <w:rsid w:val="00691F29"/>
    <w:rsid w:val="00694152"/>
    <w:rsid w:val="00794E2C"/>
    <w:rsid w:val="00881D1D"/>
    <w:rsid w:val="009275C7"/>
    <w:rsid w:val="00A36957"/>
    <w:rsid w:val="00A65191"/>
    <w:rsid w:val="00AF0EA8"/>
    <w:rsid w:val="00AF7BF7"/>
    <w:rsid w:val="00B76E98"/>
    <w:rsid w:val="00C05090"/>
    <w:rsid w:val="00C34BBD"/>
    <w:rsid w:val="00CC39A6"/>
    <w:rsid w:val="00D0584F"/>
    <w:rsid w:val="00D259FC"/>
    <w:rsid w:val="00D37A04"/>
    <w:rsid w:val="00E9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04"/>
  </w:style>
  <w:style w:type="paragraph" w:styleId="Footer">
    <w:name w:val="footer"/>
    <w:basedOn w:val="Normal"/>
    <w:link w:val="FooterChar"/>
    <w:uiPriority w:val="99"/>
    <w:unhideWhenUsed/>
    <w:rsid w:val="00D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04"/>
  </w:style>
  <w:style w:type="table" w:styleId="TableGrid">
    <w:name w:val="Table Grid"/>
    <w:basedOn w:val="TableNormal"/>
    <w:uiPriority w:val="59"/>
    <w:rsid w:val="00D3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0584F"/>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D0584F"/>
    <w:rPr>
      <w:rFonts w:ascii="Arial" w:eastAsia="Times New Roman" w:hAnsi="Arial" w:cs="Times New Roman"/>
      <w:sz w:val="16"/>
      <w:szCs w:val="16"/>
      <w:lang w:val="x-none" w:eastAsia="x-none"/>
    </w:rPr>
  </w:style>
  <w:style w:type="paragraph" w:customStyle="1" w:styleId="Default">
    <w:name w:val="Default"/>
    <w:rsid w:val="00D058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0584F"/>
    <w:pPr>
      <w:spacing w:after="0" w:line="240" w:lineRule="auto"/>
      <w:ind w:lef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04"/>
  </w:style>
  <w:style w:type="paragraph" w:styleId="Footer">
    <w:name w:val="footer"/>
    <w:basedOn w:val="Normal"/>
    <w:link w:val="FooterChar"/>
    <w:uiPriority w:val="99"/>
    <w:unhideWhenUsed/>
    <w:rsid w:val="00D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04"/>
  </w:style>
  <w:style w:type="table" w:styleId="TableGrid">
    <w:name w:val="Table Grid"/>
    <w:basedOn w:val="TableNormal"/>
    <w:uiPriority w:val="59"/>
    <w:rsid w:val="00D3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0584F"/>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D0584F"/>
    <w:rPr>
      <w:rFonts w:ascii="Arial" w:eastAsia="Times New Roman" w:hAnsi="Arial" w:cs="Times New Roman"/>
      <w:sz w:val="16"/>
      <w:szCs w:val="16"/>
      <w:lang w:val="x-none" w:eastAsia="x-none"/>
    </w:rPr>
  </w:style>
  <w:style w:type="paragraph" w:customStyle="1" w:styleId="Default">
    <w:name w:val="Default"/>
    <w:rsid w:val="00D058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0584F"/>
    <w:pPr>
      <w:spacing w:after="0" w:line="240" w:lineRule="auto"/>
      <w:ind w:left="72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George Powers</cp:lastModifiedBy>
  <cp:revision>2</cp:revision>
  <dcterms:created xsi:type="dcterms:W3CDTF">2015-05-29T12:56:00Z</dcterms:created>
  <dcterms:modified xsi:type="dcterms:W3CDTF">2015-05-29T12:56:00Z</dcterms:modified>
</cp:coreProperties>
</file>